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lang w:val="kk-KZ"/>
        </w:rPr>
        <w:t xml:space="preserve"> </w:t>
      </w:r>
    </w:p>
    <w:p>
      <w:pPr>
        <w:pStyle w:val="style20"/>
        <w:jc w:val="center"/>
      </w:pPr>
      <w:r>
        <w:rPr>
          <w:rFonts w:cs="Times New Roman"/>
          <w:b/>
          <w:lang w:val="kk-KZ"/>
        </w:rPr>
        <w:t>ПӘННІҢ ҚҰРЫЛЫМЫ МЕН МАЗМҰНЫ</w:t>
      </w:r>
    </w:p>
    <w:p>
      <w:pPr>
        <w:pStyle w:val="style20"/>
        <w:jc w:val="both"/>
      </w:pPr>
      <w:r>
        <w:rPr>
          <w:rFonts w:cs="Times New Roman"/>
          <w:b/>
          <w:lang w:val="kk-KZ"/>
        </w:rPr>
      </w:r>
    </w:p>
    <w:tbl>
      <w:tblPr>
        <w:jc w:val="left"/>
        <w:tblInd w:type="dxa" w:w="-192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  <w:right w:val="none"/>
          <w:insideV w:val="none"/>
        </w:tblBorders>
        <w:tblCellMar>
          <w:top w:type="dxa" w:w="0"/>
          <w:left w:type="dxa" w:w="5"/>
          <w:bottom w:type="dxa" w:w="0"/>
          <w:right w:type="dxa" w:w="10"/>
        </w:tblCellMar>
      </w:tblPr>
      <w:tblGrid>
        <w:gridCol w:w="1110"/>
        <w:gridCol w:w="5625"/>
        <w:gridCol w:w="1005"/>
        <w:gridCol w:w="1830"/>
      </w:tblGrid>
      <w:tr>
        <w:trPr>
          <w:cantSplit w:val="false"/>
        </w:trPr>
        <w:tc>
          <w:tcPr>
            <w:tcW w:type="dxa" w:w="11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jc w:val="center"/>
            </w:pPr>
            <w:r>
              <w:rPr>
                <w:rFonts w:cs="Times New Roman"/>
                <w:lang w:val="kk-KZ"/>
              </w:rPr>
              <w:t>Апта</w:t>
            </w:r>
          </w:p>
        </w:tc>
        <w:tc>
          <w:tcPr>
            <w:tcW w:type="dxa" w:w="56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jc w:val="center"/>
            </w:pPr>
            <w:r>
              <w:rPr>
                <w:rFonts w:cs="Times New Roman"/>
                <w:lang w:val="kk-KZ"/>
              </w:rPr>
              <w:t>Тақырыптың аталуы</w:t>
            </w:r>
          </w:p>
        </w:tc>
        <w:tc>
          <w:tcPr>
            <w:tcW w:type="dxa" w:w="10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jc w:val="center"/>
            </w:pPr>
            <w:r>
              <w:rPr>
                <w:rFonts w:cs="Times New Roman"/>
                <w:lang w:val="kk-KZ"/>
              </w:rPr>
              <w:t>Сағат саны</w:t>
            </w:r>
          </w:p>
        </w:tc>
        <w:tc>
          <w:tcPr>
            <w:tcW w:type="dxa" w:w="18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jc w:val="center"/>
            </w:pPr>
            <w:r>
              <w:rPr>
                <w:rFonts w:cs="Times New Roman"/>
                <w:lang w:val="kk-KZ"/>
              </w:rPr>
              <w:t>Бағасы</w:t>
            </w:r>
          </w:p>
        </w:tc>
      </w:tr>
      <w:tr>
        <w:trPr>
          <w:cantSplit w:val="false"/>
        </w:trPr>
        <w:tc>
          <w:tcPr>
            <w:tcW w:type="dxa" w:w="9570"/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20"/>
              <w:jc w:val="center"/>
            </w:pPr>
            <w:r>
              <w:rPr>
                <w:rFonts w:cs="Times New Roman"/>
                <w:b/>
                <w:lang w:val="kk-KZ"/>
              </w:rPr>
              <w:t xml:space="preserve">1 Модуль  </w:t>
            </w:r>
          </w:p>
        </w:tc>
      </w:tr>
      <w:tr>
        <w:trPr>
          <w:trHeight w:hRule="atLeast" w:val="291"/>
          <w:cantSplit w:val="false"/>
        </w:trPr>
        <w:tc>
          <w:tcPr>
            <w:tcW w:type="dxa" w:w="11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0"/>
              <w:snapToGrid w:val="false"/>
            </w:pPr>
            <w:r>
              <w:rPr>
                <w:rFonts w:cs="Times New Roman"/>
              </w:rPr>
            </w:r>
          </w:p>
        </w:tc>
        <w:tc>
          <w:tcPr>
            <w:tcW w:type="dxa" w:w="56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</w:pPr>
            <w:r>
              <w:rPr>
                <w:rFonts w:cs="Times New Roman"/>
                <w:lang w:val="kk-KZ"/>
              </w:rPr>
              <w:t>1 практикалық (зертханалық) сабақ Қарым-қатынас психологиясы – ғылыми білімнің пәнаралық саласы ретінде</w:t>
            </w:r>
          </w:p>
        </w:tc>
        <w:tc>
          <w:tcPr>
            <w:tcW w:type="dxa" w:w="10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trHeight w:hRule="atLeast" w:val="248"/>
          <w:cantSplit w:val="false"/>
        </w:trPr>
        <w:tc>
          <w:tcPr>
            <w:tcW w:type="dxa" w:w="11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0"/>
              <w:snapToGrid w:val="false"/>
            </w:pPr>
            <w:r>
              <w:rPr>
                <w:rFonts w:cs="Times New Roman"/>
              </w:rPr>
            </w:r>
          </w:p>
        </w:tc>
        <w:tc>
          <w:tcPr>
            <w:tcW w:type="dxa" w:w="56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jc w:val="center"/>
            </w:pPr>
            <w:r>
              <w:rPr>
                <w:rFonts w:cs="Times New Roman"/>
                <w:lang w:val="kk-KZ"/>
              </w:rPr>
              <w:t>2 практикалық (зертханалық) сабақ</w:t>
            </w:r>
          </w:p>
          <w:p>
            <w:pPr>
              <w:pStyle w:val="style20"/>
            </w:pPr>
            <w:r>
              <w:rPr>
                <w:rFonts w:cs="Times New Roman" w:eastAsia="Times New Roman"/>
                <w:lang w:val="kk-KZ"/>
              </w:rPr>
              <w:t xml:space="preserve"> </w:t>
            </w:r>
            <w:r>
              <w:rPr>
                <w:rFonts w:cs="Times New Roman"/>
                <w:lang w:val="kk-KZ"/>
              </w:rPr>
              <w:t>Қарым-қатынас психологиясы  – ғылыми білімнің пәнаралық саласы ретінде</w:t>
            </w:r>
          </w:p>
        </w:tc>
        <w:tc>
          <w:tcPr>
            <w:tcW w:type="dxa" w:w="10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trHeight w:hRule="atLeast" w:val="273"/>
          <w:cantSplit w:val="false"/>
        </w:trPr>
        <w:tc>
          <w:tcPr>
            <w:tcW w:type="dxa" w:w="11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0"/>
              <w:snapToGrid w:val="false"/>
            </w:pPr>
            <w:r>
              <w:rPr>
                <w:rFonts w:cs="Times New Roman"/>
              </w:rPr>
            </w:r>
          </w:p>
        </w:tc>
        <w:tc>
          <w:tcPr>
            <w:tcW w:type="dxa" w:w="56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jc w:val="center"/>
            </w:pPr>
            <w:r>
              <w:rPr>
                <w:rFonts w:cs="Times New Roman"/>
                <w:lang w:val="kk-KZ"/>
              </w:rPr>
              <w:t xml:space="preserve">3 практикалық (зертханалық) сабақ </w:t>
            </w:r>
            <w:r>
              <w:rPr>
                <w:rFonts w:cs="Times New Roman"/>
                <w:b/>
                <w:bCs/>
                <w:lang w:val="kk-KZ"/>
              </w:rPr>
              <w:t xml:space="preserve"> </w:t>
            </w:r>
          </w:p>
          <w:p>
            <w:pPr>
              <w:pStyle w:val="style20"/>
            </w:pPr>
            <w:r>
              <w:rPr>
                <w:rFonts w:cs="Times New Roman"/>
                <w:bCs/>
                <w:lang w:val="kk-KZ"/>
              </w:rPr>
              <w:t>Қазіргі замандағы білім берудегі педагогикалық қарым-қатынас концепцияларына шолу.</w:t>
            </w:r>
          </w:p>
          <w:p>
            <w:pPr>
              <w:pStyle w:val="style20"/>
            </w:pPr>
            <w:r>
              <w:rPr>
                <w:rFonts w:cs="Times New Roman"/>
                <w:lang w:val="kk-KZ"/>
              </w:rPr>
            </w:r>
          </w:p>
        </w:tc>
        <w:tc>
          <w:tcPr>
            <w:tcW w:type="dxa" w:w="10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trHeight w:hRule="atLeast" w:val="297"/>
          <w:cantSplit w:val="false"/>
        </w:trPr>
        <w:tc>
          <w:tcPr>
            <w:tcW w:type="dxa" w:w="9570"/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20"/>
              <w:jc w:val="center"/>
            </w:pPr>
            <w:r>
              <w:rPr>
                <w:rFonts w:cs="Times New Roman"/>
                <w:b/>
                <w:lang w:val="kk-KZ"/>
              </w:rPr>
              <w:t>2 Модуль</w:t>
            </w:r>
          </w:p>
        </w:tc>
      </w:tr>
      <w:tr>
        <w:trPr>
          <w:trHeight w:hRule="atLeast" w:val="242"/>
          <w:cantSplit w:val="false"/>
        </w:trPr>
        <w:tc>
          <w:tcPr>
            <w:tcW w:type="dxa" w:w="11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0"/>
              <w:snapToGrid w:val="false"/>
            </w:pPr>
            <w:r>
              <w:rPr>
                <w:rFonts w:cs="Times New Roman"/>
              </w:rPr>
            </w:r>
          </w:p>
        </w:tc>
        <w:tc>
          <w:tcPr>
            <w:tcW w:type="dxa" w:w="56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</w:pPr>
            <w:r>
              <w:rPr>
                <w:rFonts w:cs="Times New Roman"/>
                <w:lang w:val="kk-KZ"/>
              </w:rPr>
              <w:t xml:space="preserve">4 практикалық (зертханалық) сабақ </w:t>
            </w:r>
            <w:r>
              <w:rPr>
                <w:rFonts w:cs="Times New Roman"/>
                <w:bCs/>
                <w:lang w:val="kk-KZ"/>
              </w:rPr>
              <w:t>Дәстүрлі оқытудағы педагогикалық қарым-қатынас стилдерінің  психологиялық ерекшеліктері.</w:t>
            </w:r>
          </w:p>
        </w:tc>
        <w:tc>
          <w:tcPr>
            <w:tcW w:type="dxa" w:w="10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type="dxa" w:w="11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0"/>
              <w:snapToGrid w:val="false"/>
            </w:pPr>
            <w:r>
              <w:rPr>
                <w:rFonts w:cs="Times New Roman"/>
              </w:rPr>
            </w:r>
          </w:p>
        </w:tc>
        <w:tc>
          <w:tcPr>
            <w:tcW w:type="dxa" w:w="56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</w:pPr>
            <w:r>
              <w:rPr>
                <w:rFonts w:cs="Times New Roman"/>
                <w:lang w:val="kk-KZ"/>
              </w:rPr>
              <w:t>5 практикалық (зертханалық) сабақ. Тұлғаның кәсіби мамандануындағы   қарым – қатынастың</w:t>
            </w:r>
          </w:p>
          <w:p>
            <w:pPr>
              <w:pStyle w:val="style20"/>
            </w:pPr>
            <w:r>
              <w:rPr>
                <w:rFonts w:cs="Times New Roman" w:eastAsia="Times New Roman"/>
                <w:lang w:val="kk-KZ"/>
              </w:rPr>
              <w:t xml:space="preserve">  </w:t>
            </w:r>
            <w:r>
              <w:rPr>
                <w:rFonts w:cs="Times New Roman"/>
                <w:lang w:val="kk-KZ"/>
              </w:rPr>
              <w:t>ерекшеліктері</w:t>
            </w:r>
          </w:p>
        </w:tc>
        <w:tc>
          <w:tcPr>
            <w:tcW w:type="dxa" w:w="10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type="dxa" w:w="11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0"/>
              <w:snapToGrid w:val="false"/>
            </w:pPr>
            <w:r>
              <w:rPr>
                <w:rFonts w:cs="Times New Roman"/>
              </w:rPr>
            </w:r>
          </w:p>
        </w:tc>
        <w:tc>
          <w:tcPr>
            <w:tcW w:type="dxa" w:w="56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</w:pPr>
            <w:r>
              <w:rPr>
                <w:rFonts w:cs="Times New Roman"/>
                <w:lang w:val="kk-KZ"/>
              </w:rPr>
              <w:t xml:space="preserve">6 практикалық (зертханалық) сабақ. </w:t>
            </w:r>
            <w:r>
              <w:rPr>
                <w:rFonts w:cs="Times New Roman"/>
                <w:b/>
                <w:bCs/>
                <w:lang w:val="kk-KZ"/>
              </w:rPr>
              <w:t xml:space="preserve"> </w:t>
            </w:r>
          </w:p>
          <w:p>
            <w:pPr>
              <w:pStyle w:val="style20"/>
              <w:jc w:val="both"/>
            </w:pPr>
            <w:r>
              <w:rPr>
                <w:rFonts w:cs="Times New Roman" w:eastAsia="Times New Roman"/>
                <w:lang w:val="kk-KZ"/>
              </w:rPr>
              <w:t xml:space="preserve">  </w:t>
            </w:r>
            <w:r>
              <w:rPr>
                <w:rFonts w:cs="Times New Roman"/>
                <w:lang w:val="kk-KZ"/>
              </w:rPr>
              <w:t>Адамның жас ерекшеліктеріне байланысты  қарым-қатынастағы  тұлғаның танымдық  процестерін     зерттеудің маңыздылығы</w:t>
            </w:r>
          </w:p>
          <w:p>
            <w:pPr>
              <w:pStyle w:val="style20"/>
            </w:pPr>
            <w:r>
              <w:rPr>
                <w:rFonts w:cs="Times New Roman"/>
                <w:bCs/>
                <w:lang w:val="kk-KZ"/>
              </w:rPr>
            </w:r>
          </w:p>
        </w:tc>
        <w:tc>
          <w:tcPr>
            <w:tcW w:type="dxa" w:w="10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caps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11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0"/>
              <w:snapToGrid w:val="false"/>
            </w:pPr>
            <w:r>
              <w:rPr>
                <w:rFonts w:cs="Times New Roman"/>
              </w:rPr>
            </w:r>
          </w:p>
        </w:tc>
        <w:tc>
          <w:tcPr>
            <w:tcW w:type="dxa" w:w="56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</w:pPr>
            <w:r>
              <w:rPr>
                <w:rFonts w:cs="Times New Roman"/>
                <w:lang w:val="kk-KZ"/>
              </w:rPr>
              <w:t>7 практикалық (зертханалық) сабақ.  Қарым-қатынас        тиімділігі мен фаторлары.</w:t>
            </w:r>
          </w:p>
        </w:tc>
        <w:tc>
          <w:tcPr>
            <w:tcW w:type="dxa" w:w="10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caps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type="dxa" w:w="9570"/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  <w:vAlign w:val="center"/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b/>
                <w:caps/>
                <w:lang w:val="kk-KZ"/>
              </w:rPr>
              <w:t>3 Модуль</w:t>
            </w:r>
          </w:p>
        </w:tc>
      </w:tr>
    </w:tbl>
    <w:p>
      <w:pPr>
        <w:pStyle w:val="style0"/>
      </w:pPr>
      <w:r>
        <w:rPr/>
      </w:r>
    </w:p>
    <w:tbl>
      <w:tblPr>
        <w:jc w:val="left"/>
        <w:tblInd w:type="dxa" w:w="-192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  <w:right w:val="none"/>
          <w:insideV w:val="none"/>
        </w:tblBorders>
        <w:tblCellMar>
          <w:top w:type="dxa" w:w="0"/>
          <w:left w:type="dxa" w:w="5"/>
          <w:bottom w:type="dxa" w:w="0"/>
          <w:right w:type="dxa" w:w="10"/>
        </w:tblCellMar>
      </w:tblPr>
      <w:tblGrid>
        <w:gridCol w:w="1079"/>
        <w:gridCol w:w="5479"/>
        <w:gridCol w:w="67"/>
        <w:gridCol w:w="1130"/>
        <w:gridCol w:w="1830"/>
      </w:tblGrid>
      <w:tr>
        <w:trPr>
          <w:trHeight w:hRule="atLeast" w:val="291"/>
          <w:cantSplit w:val="false"/>
        </w:trPr>
        <w:tc>
          <w:tcPr>
            <w:tcW w:type="dxa" w:w="10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0"/>
              <w:snapToGrid w:val="false"/>
            </w:pPr>
            <w:r>
              <w:rPr>
                <w:rFonts w:cs="Times New Roman"/>
              </w:rPr>
            </w:r>
          </w:p>
        </w:tc>
        <w:tc>
          <w:tcPr>
            <w:tcW w:type="dxa" w:w="54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</w:pPr>
            <w:r>
              <w:rPr>
                <w:rFonts w:cs="Times New Roman"/>
                <w:lang w:val="kk-KZ"/>
              </w:rPr>
            </w:r>
          </w:p>
          <w:p>
            <w:pPr>
              <w:pStyle w:val="style20"/>
            </w:pPr>
            <w:r>
              <w:rPr>
                <w:rFonts w:cs="Times New Roman"/>
                <w:lang w:val="kk-KZ"/>
              </w:rPr>
              <w:t xml:space="preserve">8 практикалық (зертханалық) сабақ. </w:t>
            </w:r>
            <w:r>
              <w:rPr>
                <w:rFonts w:cs="Times New Roman"/>
                <w:bCs/>
                <w:lang w:val="kk-KZ"/>
              </w:rPr>
              <w:t>Мектептегі және ЖОО-дағы психологияны оқытудың формаларына педагогикалық қарым-қатынастың әсері.</w:t>
            </w:r>
          </w:p>
        </w:tc>
        <w:tc>
          <w:tcPr>
            <w:tcW w:type="dxa" w:w="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</w:r>
          </w:p>
        </w:tc>
        <w:tc>
          <w:tcPr>
            <w:tcW w:type="dxa" w:w="11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3</w:t>
            </w:r>
          </w:p>
        </w:tc>
      </w:tr>
      <w:tr>
        <w:trPr>
          <w:trHeight w:hRule="atLeast" w:val="248"/>
          <w:cantSplit w:val="false"/>
        </w:trPr>
        <w:tc>
          <w:tcPr>
            <w:tcW w:type="dxa" w:w="10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0"/>
              <w:snapToGrid w:val="false"/>
            </w:pPr>
            <w:r>
              <w:rPr>
                <w:rFonts w:cs="Times New Roman"/>
              </w:rPr>
            </w:r>
          </w:p>
        </w:tc>
        <w:tc>
          <w:tcPr>
            <w:tcW w:type="dxa" w:w="54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</w:pPr>
            <w:r>
              <w:rPr>
                <w:rFonts w:cs="Times New Roman"/>
                <w:lang w:val="kk-KZ"/>
              </w:rPr>
              <w:t>9 практикалық (зертханалық) сабақ.</w:t>
            </w:r>
            <w:r>
              <w:rPr>
                <w:rFonts w:cs="Times New Roman"/>
                <w:bCs/>
                <w:lang w:val="kk-KZ"/>
              </w:rPr>
              <w:t>Қарым-қатынас стилдерінің  негізгі аспектілері.</w:t>
            </w:r>
          </w:p>
        </w:tc>
        <w:tc>
          <w:tcPr>
            <w:tcW w:type="dxa" w:w="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</w:r>
          </w:p>
        </w:tc>
        <w:tc>
          <w:tcPr>
            <w:tcW w:type="dxa" w:w="11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3</w:t>
            </w:r>
          </w:p>
        </w:tc>
      </w:tr>
      <w:tr>
        <w:trPr>
          <w:trHeight w:hRule="atLeast" w:val="273"/>
          <w:cantSplit w:val="false"/>
        </w:trPr>
        <w:tc>
          <w:tcPr>
            <w:tcW w:type="dxa" w:w="10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0"/>
              <w:snapToGrid w:val="false"/>
            </w:pPr>
            <w:r>
              <w:rPr>
                <w:rFonts w:cs="Times New Roman"/>
              </w:rPr>
            </w:r>
          </w:p>
        </w:tc>
        <w:tc>
          <w:tcPr>
            <w:tcW w:type="dxa" w:w="54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jc w:val="center"/>
            </w:pPr>
            <w:r>
              <w:rPr>
                <w:rFonts w:cs="Times New Roman"/>
                <w:lang w:val="kk-KZ"/>
              </w:rPr>
              <w:t xml:space="preserve">10 практикалық (зертханалық) сабақ. Акцентуациялық 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kk-KZ"/>
              </w:rPr>
              <w:t>мінез  ерекшеліктеріне   қарым-қатынастың психологиялық   әсері</w:t>
            </w:r>
          </w:p>
        </w:tc>
        <w:tc>
          <w:tcPr>
            <w:tcW w:type="dxa" w:w="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</w:r>
          </w:p>
        </w:tc>
        <w:tc>
          <w:tcPr>
            <w:tcW w:type="dxa" w:w="11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trHeight w:hRule="atLeast" w:val="297"/>
          <w:cantSplit w:val="false"/>
        </w:trPr>
        <w:tc>
          <w:tcPr>
            <w:tcW w:type="dxa" w:w="7755"/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jc w:val="center"/>
            </w:pPr>
            <w:r>
              <w:rPr>
                <w:rFonts w:cs="Times New Roman"/>
                <w:b/>
                <w:lang w:val="kk-KZ"/>
              </w:rPr>
              <w:t>4 Модуль</w:t>
            </w:r>
          </w:p>
        </w:tc>
        <w:tc>
          <w:tcPr>
            <w:tcW w:type="dxa" w:w="18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</w:rPr>
            </w:r>
          </w:p>
        </w:tc>
      </w:tr>
      <w:tr>
        <w:trPr>
          <w:trHeight w:hRule="atLeast" w:val="242"/>
          <w:cantSplit w:val="false"/>
        </w:trPr>
        <w:tc>
          <w:tcPr>
            <w:tcW w:type="dxa" w:w="10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0"/>
              <w:snapToGrid w:val="false"/>
            </w:pPr>
            <w:r>
              <w:rPr>
                <w:rFonts w:cs="Times New Roman"/>
              </w:rPr>
            </w:r>
          </w:p>
        </w:tc>
        <w:tc>
          <w:tcPr>
            <w:tcW w:type="dxa" w:w="54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11 практикалық (зертханалық) сабақ. Басшының сөйлеу мәнері  және интеллектуалдық ептілігін дамытуға   қарым-қатынастың әсері.</w:t>
            </w:r>
          </w:p>
        </w:tc>
        <w:tc>
          <w:tcPr>
            <w:tcW w:type="dxa" w:w="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</w:r>
          </w:p>
        </w:tc>
        <w:tc>
          <w:tcPr>
            <w:tcW w:type="dxa" w:w="11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type="dxa" w:w="10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0"/>
              <w:snapToGrid w:val="false"/>
            </w:pPr>
            <w:r>
              <w:rPr>
                <w:rFonts w:cs="Times New Roman"/>
              </w:rPr>
            </w:r>
          </w:p>
        </w:tc>
        <w:tc>
          <w:tcPr>
            <w:tcW w:type="dxa" w:w="54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12 практикалық (зертханалық) сабақ.Студенттер    қарым-қатынастарының  әлеуметтік-психологиялық аспектісі. Топтар дамуының ерекшеліктері. Студентермен  дұрыс қарым-қатынас жасауға тренингтер</w:t>
            </w:r>
          </w:p>
        </w:tc>
        <w:tc>
          <w:tcPr>
            <w:tcW w:type="dxa" w:w="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</w:r>
          </w:p>
        </w:tc>
        <w:tc>
          <w:tcPr>
            <w:tcW w:type="dxa" w:w="11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type="dxa" w:w="10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0"/>
              <w:snapToGrid w:val="false"/>
            </w:pPr>
            <w:r>
              <w:rPr>
                <w:rFonts w:cs="Times New Roman"/>
              </w:rPr>
            </w:r>
          </w:p>
        </w:tc>
        <w:tc>
          <w:tcPr>
            <w:tcW w:type="dxa" w:w="54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both"/>
            </w:pPr>
            <w:r>
              <w:rPr>
                <w:rFonts w:cs="Times New Roman"/>
                <w:lang w:val="kk-KZ"/>
              </w:rPr>
              <w:t>13 практикалық (зертханалық) сабақ. Болашақ мамандардың қарым-қатынасын кезеңдік эксперименттік зерттеу бағдарламасы негізінде бірлескен іс-әрекеттегі ерекшеліктері.</w:t>
            </w:r>
          </w:p>
        </w:tc>
        <w:tc>
          <w:tcPr>
            <w:tcW w:type="dxa" w:w="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</w:r>
          </w:p>
        </w:tc>
        <w:tc>
          <w:tcPr>
            <w:tcW w:type="dxa" w:w="11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caps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caps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type="dxa" w:w="1079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0"/>
              <w:snapToGrid w:val="false"/>
            </w:pPr>
            <w:r>
              <w:rPr>
                <w:rFonts w:cs="Times New Roman"/>
              </w:rPr>
            </w:r>
          </w:p>
        </w:tc>
        <w:tc>
          <w:tcPr>
            <w:tcW w:type="dxa" w:w="54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</w:pPr>
            <w:r>
              <w:rPr>
                <w:rFonts w:cs="Times New Roman"/>
                <w:lang w:val="kk-KZ"/>
              </w:rPr>
              <w:t>14 практикалық (зертханалық) сабақ. Қарым-қатынастағы  «кедергілер» шешу, ситуациялардан шығару</w:t>
            </w:r>
          </w:p>
        </w:tc>
        <w:tc>
          <w:tcPr>
            <w:tcW w:type="dxa" w:w="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</w:r>
          </w:p>
        </w:tc>
        <w:tc>
          <w:tcPr>
            <w:tcW w:type="dxa" w:w="11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caps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caps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type="dxa" w:w="1079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0"/>
              <w:snapToGrid w:val="false"/>
            </w:pPr>
            <w:r>
              <w:rPr>
                <w:rFonts w:cs="Times New Roman"/>
              </w:rPr>
            </w:r>
          </w:p>
        </w:tc>
        <w:tc>
          <w:tcPr>
            <w:tcW w:type="dxa" w:w="5479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</w:pPr>
            <w:r>
              <w:rPr>
                <w:rFonts w:cs="Times New Roman"/>
                <w:lang w:val="kk-KZ"/>
              </w:rPr>
              <w:t>15 практикалық (зертханалық) сабақ.</w:t>
            </w:r>
          </w:p>
          <w:p>
            <w:pPr>
              <w:pStyle w:val="style20"/>
              <w:snapToGrid w:val="false"/>
            </w:pPr>
            <w:r>
              <w:rPr>
                <w:rFonts w:cs="Times New Roman"/>
                <w:lang w:val="kk-KZ"/>
              </w:rPr>
              <w:t>Ұжымдағы қызметкерлер арасындағы    қарым-қатынастың психологиясы.</w:t>
            </w:r>
          </w:p>
        </w:tc>
        <w:tc>
          <w:tcPr>
            <w:tcW w:type="dxa" w:w="67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lang w:val="kk-KZ"/>
              </w:rPr>
            </w:r>
          </w:p>
        </w:tc>
        <w:tc>
          <w:tcPr>
            <w:tcW w:type="dxa" w:w="113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caps/>
                <w:lang w:val="kk-KZ"/>
              </w:rPr>
              <w:t>1</w:t>
            </w:r>
          </w:p>
        </w:tc>
        <w:tc>
          <w:tcPr>
            <w:tcW w:type="dxa" w:w="183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5"/>
            </w:tcMar>
          </w:tcPr>
          <w:p>
            <w:pPr>
              <w:pStyle w:val="style20"/>
              <w:snapToGrid w:val="false"/>
              <w:jc w:val="center"/>
            </w:pPr>
            <w:r>
              <w:rPr>
                <w:rFonts w:cs="Times New Roman"/>
                <w:caps/>
                <w:lang w:val="kk-KZ"/>
              </w:rPr>
              <w:t>5</w:t>
            </w:r>
          </w:p>
        </w:tc>
      </w:tr>
    </w:tbl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imes Kaz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suppressAutoHyphens w:val="true"/>
      <w:overflowPunct w:val="false"/>
    </w:pPr>
    <w:rPr>
      <w:rFonts w:ascii="Times New Roman" w:cs="Tahoma" w:eastAsia="Andale Sans UI" w:hAnsi="Times New Roman"/>
      <w:color w:val="00000A"/>
      <w:sz w:val="24"/>
      <w:szCs w:val="24"/>
      <w:lang w:bidi="zxx-" w:eastAsia="zxx-" w:val="zxx-"/>
    </w:rPr>
  </w:style>
  <w:style w:styleId="style15" w:type="paragraph">
    <w:name w:val="Заголовок"/>
    <w:basedOn w:val="style0"/>
    <w:next w:val="style16"/>
    <w:pPr>
      <w:keepNext/>
      <w:spacing w:after="120" w:before="240"/>
      <w:contextualSpacing w:val="false"/>
    </w:pPr>
    <w:rPr>
      <w:rFonts w:ascii="Arial" w:cs="Tahoma" w:eastAsia="Andale Sans UI" w:hAnsi="Arial"/>
      <w:sz w:val="28"/>
      <w:szCs w:val="28"/>
    </w:rPr>
  </w:style>
  <w:style w:styleId="style16" w:type="paragraph">
    <w:name w:val="Основной текст"/>
    <w:basedOn w:val="style0"/>
    <w:next w:val="style16"/>
    <w:pPr>
      <w:spacing w:after="120" w:before="0"/>
      <w:contextualSpacing w:val="false"/>
    </w:pPr>
    <w:rPr/>
  </w:style>
  <w:style w:styleId="style17" w:type="paragraph">
    <w:name w:val="Список"/>
    <w:basedOn w:val="style16"/>
    <w:next w:val="style17"/>
    <w:pPr/>
    <w:rPr>
      <w:rFonts w:cs="Tahoma"/>
    </w:rPr>
  </w:style>
  <w:style w:styleId="style18" w:type="paragraph">
    <w:name w:val="Название"/>
    <w:basedOn w:val="style0"/>
    <w:next w:val="style18"/>
    <w:pPr>
      <w:suppressLineNumbers/>
      <w:spacing w:after="120" w:before="120"/>
      <w:contextualSpacing w:val="false"/>
    </w:pPr>
    <w:rPr>
      <w:rFonts w:cs="Tahoma"/>
      <w:i/>
      <w:iCs/>
      <w:sz w:val="24"/>
      <w:szCs w:val="24"/>
    </w:rPr>
  </w:style>
  <w:style w:styleId="style19" w:type="paragraph">
    <w:name w:val="Указатель"/>
    <w:basedOn w:val="style0"/>
    <w:next w:val="style19"/>
    <w:pPr>
      <w:suppressLineNumbers/>
    </w:pPr>
    <w:rPr>
      <w:rFonts w:cs="Tahoma"/>
    </w:rPr>
  </w:style>
  <w:style w:styleId="style20" w:type="paragraph">
    <w:name w:val="Standard"/>
    <w:next w:val="style20"/>
    <w:pPr>
      <w:widowControl w:val="false"/>
      <w:suppressAutoHyphens w:val="true"/>
      <w:textAlignment w:val="baseline"/>
    </w:pPr>
    <w:rPr>
      <w:rFonts w:ascii="Times New Roman" w:cs="Tahoma" w:eastAsia="Andale Sans UI;Arial Unicode MS" w:hAnsi="Times New Roman"/>
      <w:color w:val="auto"/>
      <w:sz w:val="24"/>
      <w:szCs w:val="24"/>
      <w:lang w:bidi="en-US" w:eastAsia="zh-CN" w:val="en-US"/>
    </w:rPr>
  </w:style>
  <w:style w:styleId="style21" w:type="paragraph">
    <w:name w:val="Text body"/>
    <w:basedOn w:val="style20"/>
    <w:next w:val="style21"/>
    <w:pPr>
      <w:suppressAutoHyphens w:val="true"/>
      <w:spacing w:after="120" w:before="0"/>
      <w:contextualSpacing w:val="false"/>
    </w:pPr>
    <w:rPr/>
  </w:style>
  <w:style w:styleId="style22" w:type="paragraph">
    <w:name w:val="Основной текст 3"/>
    <w:basedOn w:val="style20"/>
    <w:next w:val="style22"/>
    <w:pPr>
      <w:suppressAutoHyphens w:val="true"/>
      <w:autoSpaceDE w:val="false"/>
      <w:spacing w:after="120" w:before="0"/>
      <w:contextualSpacing w:val="false"/>
    </w:pPr>
    <w:rPr>
      <w:sz w:val="16"/>
      <w:szCs w:val="16"/>
    </w:rPr>
  </w:style>
  <w:style w:styleId="style23" w:type="paragraph">
    <w:name w:val="Heading 1"/>
    <w:basedOn w:val="style20"/>
    <w:next w:val="style20"/>
    <w:pPr>
      <w:keepNext/>
      <w:suppressAutoHyphens w:val="true"/>
      <w:jc w:val="center"/>
    </w:pPr>
    <w:rPr>
      <w:b/>
      <w:bCs/>
      <w:sz w:val="28"/>
    </w:rPr>
  </w:style>
  <w:style w:styleId="style24" w:type="paragraph">
    <w:name w:val="заголовок 1"/>
    <w:basedOn w:val="style20"/>
    <w:next w:val="style20"/>
    <w:pPr>
      <w:keepNext/>
      <w:suppressAutoHyphens w:val="true"/>
      <w:ind w:hanging="0" w:left="0" w:right="-766"/>
      <w:jc w:val="center"/>
    </w:pPr>
    <w:rPr>
      <w:sz w:val="28"/>
      <w:szCs w:val="28"/>
    </w:rPr>
  </w:style>
  <w:style w:styleId="style25" w:type="paragraph">
    <w:name w:val="Body Text 21"/>
    <w:basedOn w:val="style20"/>
    <w:next w:val="style25"/>
    <w:pPr>
      <w:suppressAutoHyphens w:val="true"/>
    </w:pPr>
    <w:rPr>
      <w:rFonts w:ascii="Times Kaz;Arial" w:cs="Times Kaz;Arial" w:hAnsi="Times Kaz;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Application>LibreOffice/4.0.1.2$Windows_x86 LibreOffice_project/84102822e3d61eb989ddd325abf1ac077904985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2009-04-16T11:32:02.17Z</dcterms:created>
  <dcterms:modified xsi:type="dcterms:W3CDTF">2013-11-23T06:53:58.10Z</dcterms:modified>
  <cp:revision>3</cp:revision>
</cp:coreProperties>
</file>